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COMPARATIVE ANALYSIS OF CHRONIC HEART FAILURE IN A PREDOMINANT AFRICAN-AMERICAN POPULATION </w:t>
      </w:r>
    </w:p>
    <w:p w:rsidR="00444F32" w:rsidRDefault="00B921ED" w:rsidP="00444F32">
      <w:pPr>
        <w:widowControl w:val="0"/>
        <w:autoSpaceDE w:val="0"/>
        <w:autoSpaceDN w:val="0"/>
        <w:adjustRightInd w:val="0"/>
      </w:pPr>
      <w:r w:rsidRPr="00444F32">
        <w:rPr>
          <w:b/>
          <w:bCs/>
          <w:u w:val="single"/>
        </w:rPr>
        <w:t>D</w:t>
      </w:r>
      <w:r w:rsidR="00444F32" w:rsidRPr="00444F32">
        <w:rPr>
          <w:b/>
          <w:bCs/>
          <w:u w:val="single"/>
        </w:rPr>
        <w:t>.</w:t>
      </w:r>
      <w:r w:rsidRPr="00444F32">
        <w:rPr>
          <w:b/>
          <w:bCs/>
          <w:u w:val="single"/>
        </w:rPr>
        <w:t xml:space="preserve"> Brito</w:t>
      </w:r>
      <w:r w:rsidR="00444F32" w:rsidRPr="00444F32">
        <w:rPr>
          <w:b/>
          <w:bCs/>
          <w:u w:val="single"/>
          <w:vertAlign w:val="superscript"/>
        </w:rPr>
        <w:t>1</w:t>
      </w:r>
      <w:r>
        <w:t>, E</w:t>
      </w:r>
      <w:r w:rsidR="00444F32">
        <w:t>.</w:t>
      </w:r>
      <w:r>
        <w:t xml:space="preserve"> Ladron-Franco</w:t>
      </w:r>
      <w:r w:rsidR="00444F32" w:rsidRPr="00444F32">
        <w:rPr>
          <w:vertAlign w:val="superscript"/>
        </w:rPr>
        <w:t>2</w:t>
      </w:r>
      <w:r>
        <w:t>, T</w:t>
      </w:r>
      <w:r w:rsidR="00444F32">
        <w:t>.</w:t>
      </w:r>
      <w:r>
        <w:t xml:space="preserve"> Alnabelsi</w:t>
      </w:r>
      <w:r w:rsidR="00444F32" w:rsidRPr="00444F32">
        <w:rPr>
          <w:vertAlign w:val="superscript"/>
        </w:rPr>
        <w:t>1</w:t>
      </w:r>
      <w:r>
        <w:t>, J</w:t>
      </w:r>
      <w:r w:rsidR="00444F32">
        <w:t>.</w:t>
      </w:r>
      <w:r>
        <w:t xml:space="preserve"> Penalver</w:t>
      </w:r>
      <w:r w:rsidR="00444F32" w:rsidRPr="00444F32">
        <w:rPr>
          <w:vertAlign w:val="superscript"/>
        </w:rPr>
        <w:t>1</w:t>
      </w:r>
      <w:r>
        <w:t>, A</w:t>
      </w:r>
      <w:r w:rsidR="00444F32">
        <w:t>.</w:t>
      </w:r>
      <w:r>
        <w:t xml:space="preserve"> Macedo-Dias</w:t>
      </w:r>
      <w:r w:rsidR="00444F32" w:rsidRPr="00444F32">
        <w:rPr>
          <w:vertAlign w:val="superscript"/>
        </w:rPr>
        <w:t>2</w:t>
      </w:r>
      <w:r>
        <w:t xml:space="preserve">, </w:t>
      </w:r>
    </w:p>
    <w:p w:rsidR="00B921ED" w:rsidRPr="000F2737" w:rsidRDefault="00B921ED" w:rsidP="000F2737">
      <w:pPr>
        <w:widowControl w:val="0"/>
        <w:autoSpaceDE w:val="0"/>
        <w:autoSpaceDN w:val="0"/>
        <w:adjustRightInd w:val="0"/>
      </w:pPr>
      <w:r>
        <w:t>H</w:t>
      </w:r>
      <w:r w:rsidR="00444F32">
        <w:t>.</w:t>
      </w:r>
      <w:r>
        <w:t>D</w:t>
      </w:r>
      <w:r w:rsidR="00444F32">
        <w:t>.</w:t>
      </w:r>
      <w:r>
        <w:t xml:space="preserve"> Hares</w:t>
      </w:r>
      <w:r w:rsidR="00444F32" w:rsidRPr="00444F32">
        <w:rPr>
          <w:vertAlign w:val="superscript"/>
        </w:rPr>
        <w:t>1</w:t>
      </w:r>
      <w:r>
        <w:t xml:space="preserve">, </w:t>
      </w:r>
      <w:r w:rsidR="001E0BC0">
        <w:t>K. Curet</w:t>
      </w:r>
      <w:r w:rsidR="001E0BC0" w:rsidRPr="001E0BC0">
        <w:rPr>
          <w:vertAlign w:val="superscript"/>
        </w:rPr>
        <w:t>1</w:t>
      </w:r>
      <w:r w:rsidR="001E0BC0">
        <w:t>, A. Romero-Correl</w:t>
      </w:r>
      <w:r w:rsidR="001E0BC0" w:rsidRPr="001E0BC0">
        <w:rPr>
          <w:vertAlign w:val="superscript"/>
        </w:rPr>
        <w:t>2</w:t>
      </w:r>
      <w:r w:rsidR="000F2737">
        <w:t xml:space="preserve">, </w:t>
      </w:r>
      <w:r w:rsidR="000F2737">
        <w:t>B. Bozorgnia</w:t>
      </w:r>
      <w:r w:rsidR="000F2737" w:rsidRPr="00444F32">
        <w:rPr>
          <w:vertAlign w:val="superscript"/>
        </w:rPr>
        <w:t>2</w:t>
      </w:r>
      <w:bookmarkStart w:id="0" w:name="_GoBack"/>
      <w:bookmarkEnd w:id="0"/>
    </w:p>
    <w:p w:rsidR="00444F32" w:rsidRDefault="00444F32" w:rsidP="00444F32">
      <w:pPr>
        <w:widowControl w:val="0"/>
        <w:autoSpaceDE w:val="0"/>
        <w:autoSpaceDN w:val="0"/>
        <w:adjustRightInd w:val="0"/>
        <w:rPr>
          <w:color w:val="000000"/>
        </w:rPr>
      </w:pPr>
      <w:r>
        <w:rPr>
          <w:color w:val="000000"/>
        </w:rPr>
        <w:t xml:space="preserve">1. </w:t>
      </w:r>
      <w:r w:rsidR="00B921ED">
        <w:rPr>
          <w:color w:val="000000"/>
        </w:rPr>
        <w:t>Department of Internal Medicine, Einstein Medical Center, Philadelphia, PA, USA</w:t>
      </w:r>
    </w:p>
    <w:p w:rsidR="00B921ED" w:rsidRDefault="00444F32" w:rsidP="00444F32">
      <w:pPr>
        <w:widowControl w:val="0"/>
        <w:autoSpaceDE w:val="0"/>
        <w:autoSpaceDN w:val="0"/>
        <w:adjustRightInd w:val="0"/>
        <w:rPr>
          <w:color w:val="503820"/>
        </w:rPr>
      </w:pPr>
      <w:r>
        <w:rPr>
          <w:color w:val="000000"/>
        </w:rPr>
        <w:t xml:space="preserve">2. </w:t>
      </w:r>
      <w:r w:rsidR="00B921ED">
        <w:rPr>
          <w:color w:val="000000"/>
        </w:rPr>
        <w:t>The Institute for Heart and Vascular Health, Einstein Medical Center, Philadelphia, PA, USA</w:t>
      </w:r>
    </w:p>
    <w:p w:rsidR="00B921ED" w:rsidRDefault="00B921ED">
      <w:pPr>
        <w:widowControl w:val="0"/>
        <w:autoSpaceDE w:val="0"/>
        <w:autoSpaceDN w:val="0"/>
        <w:adjustRightInd w:val="0"/>
      </w:pPr>
    </w:p>
    <w:p w:rsidR="00444F32" w:rsidRDefault="00B921ED">
      <w:pPr>
        <w:widowControl w:val="0"/>
        <w:autoSpaceDE w:val="0"/>
        <w:autoSpaceDN w:val="0"/>
        <w:adjustRightInd w:val="0"/>
        <w:jc w:val="both"/>
      </w:pPr>
      <w:r w:rsidRPr="00444F32">
        <w:rPr>
          <w:i/>
          <w:iCs/>
        </w:rPr>
        <w:t>Objective</w:t>
      </w:r>
      <w:r>
        <w:t xml:space="preserve">: To compare the efficacy of chronic heart failure  management between Internal Medicine clinic (IMC) and Heart Failure clinic (HFC) in an African-American community. </w:t>
      </w:r>
      <w:r w:rsidRPr="00444F32">
        <w:rPr>
          <w:i/>
          <w:iCs/>
        </w:rPr>
        <w:t>Background</w:t>
      </w:r>
      <w:r>
        <w:t xml:space="preserve">: Heart failure (HF) results from structural or functional impairment of ventricular filling or ejection of blood. In United States 6.6 million individuals (2.8%) were diagnosed with HF by 2010. Incidence of heart failure in whites is approximately 6/1,000 person/years, while among African Americans, it is 9.1/1,000 person/years. In this observational study we would like to compare the efficacy of specialized heart failure clinics as compared to primary care management of chronic heart failure. </w:t>
      </w:r>
    </w:p>
    <w:p w:rsidR="00444F32" w:rsidRDefault="00B921ED">
      <w:pPr>
        <w:widowControl w:val="0"/>
        <w:autoSpaceDE w:val="0"/>
        <w:autoSpaceDN w:val="0"/>
        <w:adjustRightInd w:val="0"/>
        <w:jc w:val="both"/>
      </w:pPr>
      <w:r w:rsidRPr="00444F32">
        <w:rPr>
          <w:i/>
          <w:iCs/>
        </w:rPr>
        <w:t>Methods</w:t>
      </w:r>
      <w:r>
        <w:t xml:space="preserve">: Retrospective observational study by chart review of 195 patients with diagnosis of HF seen in the IMC compared to HFC at Albert Einstein Medical Center Philadelphia, PA. </w:t>
      </w:r>
    </w:p>
    <w:p w:rsidR="00444F32" w:rsidRDefault="00B921ED">
      <w:pPr>
        <w:widowControl w:val="0"/>
        <w:autoSpaceDE w:val="0"/>
        <w:autoSpaceDN w:val="0"/>
        <w:adjustRightInd w:val="0"/>
        <w:jc w:val="both"/>
      </w:pPr>
      <w:r w:rsidRPr="00444F32">
        <w:rPr>
          <w:i/>
          <w:iCs/>
        </w:rPr>
        <w:t>Results</w:t>
      </w:r>
      <w:r>
        <w:t>: IMC was predominantly females (57%) while HFC were males (60%). Both practices were mainly African-Americans (IM: 88%, HFC: 76.8%). In IMC, New York Heart Association (NYHA) class was not documented in 85% of subjects. 56% had ejection fraction (EF) &gt;40% by echocardiography. HFC had mainly NYHA class II (35.8%) and III (29.5%) with an ejection fraction of &lt;40% (64.2%). Majority of patients had non-ischemic cardiomyopathy (IMC: 74% vs HFC: 58%). Medication prescription is as follows: Beta blockers: IMC: 86%, HFC: 95%. ACEI/ARB: IMC: 79%, HFC: 84%. Hydrazine: IMC: 28%, HFC: 35.1%. Spironolactone: IMC: 11</w:t>
      </w:r>
      <w:proofErr w:type="gramStart"/>
      <w:r>
        <w:t>% ,</w:t>
      </w:r>
      <w:proofErr w:type="gramEnd"/>
      <w:r>
        <w:t xml:space="preserve"> HFC: 31.9%. Aspirin: IMC: 70%, HFC: 70%. Statin: IMC:  66%, HFC: 67%. Diuretic: IMC 70%</w:t>
      </w:r>
      <w:proofErr w:type="gramStart"/>
      <w:r>
        <w:t>,  HFC</w:t>
      </w:r>
      <w:proofErr w:type="gramEnd"/>
      <w:r>
        <w:t xml:space="preserve">: 80%. ICD implant in patients with EF &lt;35% was: IMC 40% vs HFC: 61%. </w:t>
      </w:r>
    </w:p>
    <w:p w:rsidR="00B921ED" w:rsidRDefault="00B921ED">
      <w:pPr>
        <w:widowControl w:val="0"/>
        <w:autoSpaceDE w:val="0"/>
        <w:autoSpaceDN w:val="0"/>
        <w:adjustRightInd w:val="0"/>
        <w:jc w:val="both"/>
      </w:pPr>
      <w:r w:rsidRPr="00444F32">
        <w:rPr>
          <w:i/>
          <w:iCs/>
        </w:rPr>
        <w:t>Conclusions</w:t>
      </w:r>
      <w:r>
        <w:t>: Specialized heart failure clinics provide better efficacy in adhering to standard of care when compared to primary care offices. Perhaps electronic medical record tools can be designed to alert clinicians of the missing therapies for patients with chronic heart failure.</w:t>
      </w:r>
    </w:p>
    <w:p w:rsidR="00497131" w:rsidRPr="00497131" w:rsidRDefault="00497131" w:rsidP="00497131">
      <w:pPr>
        <w:pBdr>
          <w:top w:val="nil"/>
          <w:left w:val="nil"/>
          <w:bottom w:val="nil"/>
          <w:right w:val="nil"/>
          <w:between w:val="nil"/>
          <w:bar w:val="nil"/>
        </w:pBdr>
        <w:rPr>
          <w:rFonts w:ascii="Calibri" w:eastAsia="Calibri" w:hAnsi="Calibri" w:cs="Calibri"/>
          <w:color w:val="000000"/>
          <w:sz w:val="22"/>
          <w:szCs w:val="22"/>
          <w:u w:color="000000"/>
          <w:bdr w:val="nil"/>
          <w:lang w:val="de-DE"/>
        </w:rPr>
      </w:pPr>
      <w:r w:rsidRPr="00497131">
        <w:rPr>
          <w:rFonts w:eastAsia="Calibri" w:cs="Calibri"/>
          <w:b/>
          <w:bCs/>
          <w:color w:val="000000"/>
          <w:u w:color="000000"/>
          <w:bdr w:val="nil"/>
        </w:rPr>
        <w:t xml:space="preserve">Figure 1. </w:t>
      </w:r>
      <w:r w:rsidRPr="00497131">
        <w:rPr>
          <w:rFonts w:eastAsia="Calibri" w:cs="Calibri"/>
          <w:color w:val="000000"/>
          <w:u w:color="000000"/>
          <w:bdr w:val="nil"/>
        </w:rPr>
        <w:t>Medication prescription for chronic heart failure between medical practices.</w:t>
      </w:r>
      <w:r w:rsidRPr="00497131">
        <w:rPr>
          <w:noProof/>
          <w:color w:val="000000"/>
          <w:u w:color="000000"/>
          <w:bdr w:val="nil"/>
        </w:rPr>
        <w:drawing>
          <wp:anchor distT="0" distB="0" distL="152400" distR="152400" simplePos="0" relativeHeight="251659264" behindDoc="0" locked="0" layoutInCell="1" allowOverlap="1" wp14:anchorId="0B6C5D8D" wp14:editId="574DB048">
            <wp:simplePos x="0" y="0"/>
            <wp:positionH relativeFrom="margin">
              <wp:posOffset>57150</wp:posOffset>
            </wp:positionH>
            <wp:positionV relativeFrom="line">
              <wp:posOffset>356235</wp:posOffset>
            </wp:positionV>
            <wp:extent cx="5400000" cy="2160000"/>
            <wp:effectExtent l="0" t="0" r="10795" b="12065"/>
            <wp:wrapTopAndBottom distT="0" distB="0"/>
            <wp:docPr id="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sectPr w:rsidR="00497131" w:rsidRPr="00497131">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A9" w:rsidRDefault="00D37AA9" w:rsidP="00444F32">
      <w:r>
        <w:separator/>
      </w:r>
    </w:p>
  </w:endnote>
  <w:endnote w:type="continuationSeparator" w:id="0">
    <w:p w:rsidR="00D37AA9" w:rsidRDefault="00D37AA9" w:rsidP="0044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A9" w:rsidRDefault="00D37AA9" w:rsidP="00444F32">
      <w:r>
        <w:separator/>
      </w:r>
    </w:p>
  </w:footnote>
  <w:footnote w:type="continuationSeparator" w:id="0">
    <w:p w:rsidR="00D37AA9" w:rsidRDefault="00D37AA9" w:rsidP="0044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32" w:rsidRDefault="00444F32" w:rsidP="00444F32">
    <w:pPr>
      <w:pStyle w:val="Header"/>
    </w:pPr>
    <w:r>
      <w:t>1492        either      Cat: Miscellaneous</w:t>
    </w:r>
  </w:p>
  <w:p w:rsidR="00444F32" w:rsidRDefault="00444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83657"/>
    <w:rsid w:val="000F2737"/>
    <w:rsid w:val="001E0BC0"/>
    <w:rsid w:val="00444F32"/>
    <w:rsid w:val="00447B2F"/>
    <w:rsid w:val="00497131"/>
    <w:rsid w:val="006759C4"/>
    <w:rsid w:val="00700C78"/>
    <w:rsid w:val="00B921ED"/>
    <w:rsid w:val="00D37AA9"/>
    <w:rsid w:val="00E00B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A30F08-F778-4658-A486-41E644DE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32"/>
    <w:pPr>
      <w:tabs>
        <w:tab w:val="center" w:pos="4680"/>
        <w:tab w:val="right" w:pos="9360"/>
      </w:tabs>
    </w:pPr>
  </w:style>
  <w:style w:type="character" w:customStyle="1" w:styleId="HeaderChar">
    <w:name w:val="Header Char"/>
    <w:basedOn w:val="DefaultParagraphFont"/>
    <w:link w:val="Header"/>
    <w:uiPriority w:val="99"/>
    <w:rsid w:val="00444F32"/>
    <w:rPr>
      <w:sz w:val="24"/>
      <w:szCs w:val="24"/>
    </w:rPr>
  </w:style>
  <w:style w:type="paragraph" w:styleId="Footer">
    <w:name w:val="footer"/>
    <w:basedOn w:val="Normal"/>
    <w:link w:val="FooterChar"/>
    <w:uiPriority w:val="99"/>
    <w:unhideWhenUsed/>
    <w:rsid w:val="00444F32"/>
    <w:pPr>
      <w:tabs>
        <w:tab w:val="center" w:pos="4680"/>
        <w:tab w:val="right" w:pos="9360"/>
      </w:tabs>
    </w:pPr>
  </w:style>
  <w:style w:type="character" w:customStyle="1" w:styleId="FooterChar">
    <w:name w:val="Footer Char"/>
    <w:basedOn w:val="DefaultParagraphFont"/>
    <w:link w:val="Footer"/>
    <w:uiPriority w:val="99"/>
    <w:rsid w:val="00444F32"/>
    <w:rPr>
      <w:sz w:val="24"/>
      <w:szCs w:val="24"/>
    </w:rPr>
  </w:style>
  <w:style w:type="paragraph" w:styleId="BalloonText">
    <w:name w:val="Balloon Text"/>
    <w:basedOn w:val="Normal"/>
    <w:link w:val="BalloonTextChar"/>
    <w:uiPriority w:val="99"/>
    <w:semiHidden/>
    <w:unhideWhenUsed/>
    <w:rsid w:val="00497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021347839502643E-2"/>
          <c:y val="3.6479235124048506E-2"/>
          <c:w val="0.93743200000000004"/>
          <c:h val="0.802678"/>
        </c:manualLayout>
      </c:layout>
      <c:barChart>
        <c:barDir val="col"/>
        <c:grouping val="clustered"/>
        <c:varyColors val="0"/>
        <c:ser>
          <c:idx val="0"/>
          <c:order val="0"/>
          <c:tx>
            <c:strRef>
              <c:f>Sheet1!$A$2</c:f>
              <c:strCache>
                <c:ptCount val="1"/>
                <c:pt idx="0">
                  <c:v>Internal Medicine Clinic</c:v>
                </c:pt>
              </c:strCache>
            </c:strRef>
          </c:tx>
          <c:spPr>
            <a:solidFill>
              <a:schemeClr val="accent1"/>
            </a:solidFill>
            <a:ln w="9525" cap="flat">
              <a:solidFill>
                <a:srgbClr val="F9F9F9"/>
              </a:solidFill>
              <a:prstDash val="solid"/>
              <a:round/>
            </a:ln>
            <a:effectLst>
              <a:outerShdw blurRad="38100" dist="23000" dir="5400000" algn="tl">
                <a:srgbClr val="000000">
                  <a:alpha val="35000"/>
                </a:srgbClr>
              </a:outerShdw>
            </a:effectLst>
          </c:spPr>
          <c:invertIfNegative val="0"/>
          <c:dLbls>
            <c:numFmt formatCode="#,##0" sourceLinked="0"/>
            <c:spPr>
              <a:noFill/>
              <a:ln>
                <a:noFill/>
              </a:ln>
              <a:effectLst/>
            </c:spPr>
            <c:txPr>
              <a:bodyPr/>
              <a:lstStyle/>
              <a:p>
                <a:pPr>
                  <a:defRPr sz="800" b="0" i="0" u="none" strike="noStrike">
                    <a:solidFill>
                      <a:srgbClr val="000000"/>
                    </a:solidFill>
                    <a:latin typeface="Helvetica"/>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Beta Blocker</c:v>
                </c:pt>
                <c:pt idx="1">
                  <c:v>ACEI/ARBs</c:v>
                </c:pt>
                <c:pt idx="2">
                  <c:v>Hydralazine</c:v>
                </c:pt>
                <c:pt idx="3">
                  <c:v>Nitrates</c:v>
                </c:pt>
                <c:pt idx="4">
                  <c:v>Spironolactone</c:v>
                </c:pt>
                <c:pt idx="5">
                  <c:v>Diuretic</c:v>
                </c:pt>
                <c:pt idx="6">
                  <c:v>CCB</c:v>
                </c:pt>
                <c:pt idx="7">
                  <c:v>ASA</c:v>
                </c:pt>
                <c:pt idx="8">
                  <c:v>Statin</c:v>
                </c:pt>
                <c:pt idx="9">
                  <c:v>Digoxin</c:v>
                </c:pt>
                <c:pt idx="10">
                  <c:v>ICD </c:v>
                </c:pt>
              </c:strCache>
            </c:strRef>
          </c:cat>
          <c:val>
            <c:numRef>
              <c:f>Sheet1!$B$2:$L$2</c:f>
              <c:numCache>
                <c:formatCode>General</c:formatCode>
                <c:ptCount val="11"/>
                <c:pt idx="0">
                  <c:v>86</c:v>
                </c:pt>
                <c:pt idx="1">
                  <c:v>79</c:v>
                </c:pt>
                <c:pt idx="2">
                  <c:v>28</c:v>
                </c:pt>
                <c:pt idx="3">
                  <c:v>29</c:v>
                </c:pt>
                <c:pt idx="4">
                  <c:v>11</c:v>
                </c:pt>
                <c:pt idx="5">
                  <c:v>70</c:v>
                </c:pt>
                <c:pt idx="6">
                  <c:v>37</c:v>
                </c:pt>
                <c:pt idx="7">
                  <c:v>70</c:v>
                </c:pt>
                <c:pt idx="8">
                  <c:v>66</c:v>
                </c:pt>
                <c:pt idx="9">
                  <c:v>8</c:v>
                </c:pt>
                <c:pt idx="10">
                  <c:v>40</c:v>
                </c:pt>
              </c:numCache>
            </c:numRef>
          </c:val>
        </c:ser>
        <c:ser>
          <c:idx val="1"/>
          <c:order val="1"/>
          <c:tx>
            <c:strRef>
              <c:f>Sheet1!$A$3</c:f>
              <c:strCache>
                <c:ptCount val="1"/>
                <c:pt idx="0">
                  <c:v>Heart Failure Clinic</c:v>
                </c:pt>
              </c:strCache>
            </c:strRef>
          </c:tx>
          <c:invertIfNegative val="0"/>
          <c:dLbls>
            <c:numFmt formatCode="#,##0" sourceLinked="0"/>
            <c:spPr>
              <a:noFill/>
              <a:ln>
                <a:noFill/>
              </a:ln>
              <a:effectLst/>
            </c:spPr>
            <c:txPr>
              <a:bodyPr/>
              <a:lstStyle/>
              <a:p>
                <a:pPr>
                  <a:defRPr sz="800" b="0" i="0" u="none" strike="noStrike">
                    <a:solidFill>
                      <a:srgbClr val="000000"/>
                    </a:solidFill>
                    <a:latin typeface="Helvetica"/>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11"/>
                <c:pt idx="0">
                  <c:v>Beta Blocker</c:v>
                </c:pt>
                <c:pt idx="1">
                  <c:v>ACEI/ARBs</c:v>
                </c:pt>
                <c:pt idx="2">
                  <c:v>Hydralazine</c:v>
                </c:pt>
                <c:pt idx="3">
                  <c:v>Nitrates</c:v>
                </c:pt>
                <c:pt idx="4">
                  <c:v>Spironolactone</c:v>
                </c:pt>
                <c:pt idx="5">
                  <c:v>Diuretic</c:v>
                </c:pt>
                <c:pt idx="6">
                  <c:v>CCB</c:v>
                </c:pt>
                <c:pt idx="7">
                  <c:v>ASA</c:v>
                </c:pt>
                <c:pt idx="8">
                  <c:v>Statin</c:v>
                </c:pt>
                <c:pt idx="9">
                  <c:v>Digoxin</c:v>
                </c:pt>
                <c:pt idx="10">
                  <c:v>ICD </c:v>
                </c:pt>
              </c:strCache>
            </c:strRef>
          </c:cat>
          <c:val>
            <c:numRef>
              <c:f>Sheet1!$B$3:$L$3</c:f>
              <c:numCache>
                <c:formatCode>General</c:formatCode>
                <c:ptCount val="11"/>
                <c:pt idx="0">
                  <c:v>95</c:v>
                </c:pt>
                <c:pt idx="1">
                  <c:v>84</c:v>
                </c:pt>
                <c:pt idx="2">
                  <c:v>35</c:v>
                </c:pt>
                <c:pt idx="3">
                  <c:v>44</c:v>
                </c:pt>
                <c:pt idx="4">
                  <c:v>32</c:v>
                </c:pt>
                <c:pt idx="5">
                  <c:v>80</c:v>
                </c:pt>
                <c:pt idx="6">
                  <c:v>15</c:v>
                </c:pt>
                <c:pt idx="7">
                  <c:v>70</c:v>
                </c:pt>
                <c:pt idx="8">
                  <c:v>67</c:v>
                </c:pt>
                <c:pt idx="9">
                  <c:v>15</c:v>
                </c:pt>
                <c:pt idx="10">
                  <c:v>61</c:v>
                </c:pt>
              </c:numCache>
            </c:numRef>
          </c:val>
        </c:ser>
        <c:dLbls>
          <c:showLegendKey val="0"/>
          <c:showVal val="0"/>
          <c:showCatName val="0"/>
          <c:showSerName val="0"/>
          <c:showPercent val="0"/>
          <c:showBubbleSize val="0"/>
        </c:dLbls>
        <c:gapWidth val="150"/>
        <c:axId val="336727816"/>
        <c:axId val="336724680"/>
      </c:barChart>
      <c:catAx>
        <c:axId val="33672781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800" b="0" i="0" u="none" strike="noStrike">
                <a:solidFill>
                  <a:srgbClr val="000000"/>
                </a:solidFill>
                <a:latin typeface="Times New Roman"/>
              </a:defRPr>
            </a:pPr>
            <a:endParaRPr lang="en-US"/>
          </a:p>
        </c:txPr>
        <c:crossAx val="336724680"/>
        <c:crosses val="autoZero"/>
        <c:auto val="1"/>
        <c:lblAlgn val="ctr"/>
        <c:lblOffset val="100"/>
        <c:noMultiLvlLbl val="1"/>
      </c:catAx>
      <c:valAx>
        <c:axId val="336724680"/>
        <c:scaling>
          <c:orientation val="minMax"/>
        </c:scaling>
        <c:delete val="0"/>
        <c:axPos val="l"/>
        <c:majorGridlines>
          <c:spPr>
            <a:ln w="12700" cap="flat">
              <a:solidFill>
                <a:srgbClr val="888888"/>
              </a:solidFill>
              <a:prstDash val="solid"/>
              <a:round/>
            </a:ln>
          </c:spPr>
        </c:majorGridlines>
        <c:numFmt formatCode="#\ ###/###" sourceLinked="0"/>
        <c:majorTickMark val="out"/>
        <c:minorTickMark val="none"/>
        <c:tickLblPos val="nextTo"/>
        <c:spPr>
          <a:ln w="12700" cap="flat">
            <a:solidFill>
              <a:srgbClr val="888888"/>
            </a:solidFill>
            <a:prstDash val="solid"/>
            <a:round/>
          </a:ln>
        </c:spPr>
        <c:txPr>
          <a:bodyPr rot="0"/>
          <a:lstStyle/>
          <a:p>
            <a:pPr>
              <a:defRPr sz="900" b="0" i="0" u="none" strike="noStrike">
                <a:solidFill>
                  <a:srgbClr val="000000"/>
                </a:solidFill>
                <a:latin typeface="Times New Roman"/>
              </a:defRPr>
            </a:pPr>
            <a:endParaRPr lang="en-US"/>
          </a:p>
        </c:txPr>
        <c:crossAx val="336727816"/>
        <c:crosses val="autoZero"/>
        <c:crossBetween val="between"/>
        <c:majorUnit val="25"/>
        <c:minorUnit val="12.5"/>
      </c:valAx>
      <c:spPr>
        <a:solidFill>
          <a:srgbClr val="FFFFFF"/>
        </a:solidFill>
        <a:ln w="12700" cap="flat">
          <a:noFill/>
          <a:miter lim="400000"/>
        </a:ln>
        <a:effectLst/>
      </c:spPr>
    </c:plotArea>
    <c:legend>
      <c:legendPos val="b"/>
      <c:layout>
        <c:manualLayout>
          <c:xMode val="edge"/>
          <c:yMode val="edge"/>
          <c:x val="0"/>
          <c:y val="0.92646200000000001"/>
          <c:w val="0.970661"/>
          <c:h val="7.3537599999999995E-2"/>
        </c:manualLayout>
      </c:layout>
      <c:overlay val="1"/>
      <c:spPr>
        <a:noFill/>
        <a:ln w="12700" cap="flat">
          <a:noFill/>
          <a:miter lim="400000"/>
        </a:ln>
        <a:effectLst/>
      </c:spPr>
      <c:txPr>
        <a:bodyPr rot="0"/>
        <a:lstStyle/>
        <a:p>
          <a:pPr>
            <a:defRPr sz="1200" b="0" i="0" u="none" strike="noStrike">
              <a:solidFill>
                <a:srgbClr val="000000"/>
              </a:solidFill>
              <a:latin typeface="Times New Roman"/>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7</cp:revision>
  <cp:lastPrinted>2016-05-09T09:42:00Z</cp:lastPrinted>
  <dcterms:created xsi:type="dcterms:W3CDTF">2016-05-09T09:35:00Z</dcterms:created>
  <dcterms:modified xsi:type="dcterms:W3CDTF">2016-06-09T05:08:00Z</dcterms:modified>
</cp:coreProperties>
</file>